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C8" w:rsidRDefault="00EC6ACF" w:rsidP="00BA0BC8">
      <w:pPr>
        <w:rPr>
          <w:rFonts w:ascii="DIN Pro Cond Medium" w:hAnsi="DIN Pro Cond Medium" w:cs="DIN Pro Cond Medium"/>
          <w:sz w:val="28"/>
          <w:szCs w:val="28"/>
        </w:rPr>
      </w:pPr>
      <w:r>
        <w:rPr>
          <w:rFonts w:ascii="DIN Pro Cond Medium" w:hAnsi="DIN Pro Cond Medium" w:cs="DIN Pro Cond Medium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8B55B" wp14:editId="28925534">
                <wp:simplePos x="0" y="0"/>
                <wp:positionH relativeFrom="margin">
                  <wp:posOffset>1663560</wp:posOffset>
                </wp:positionH>
                <wp:positionV relativeFrom="paragraph">
                  <wp:posOffset>59745</wp:posOffset>
                </wp:positionV>
                <wp:extent cx="4210050" cy="1098550"/>
                <wp:effectExtent l="0" t="0" r="19050" b="254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0985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1995" w:rsidRPr="00641995" w:rsidRDefault="00641995" w:rsidP="00641995">
                            <w:pPr>
                              <w:jc w:val="center"/>
                              <w:rPr>
                                <w:rFonts w:ascii="DIN Pro Cond Medium" w:hAnsi="DIN Pro Cond Medium" w:cs="DIN Pro Cond Medium"/>
                                <w:sz w:val="28"/>
                                <w:szCs w:val="28"/>
                              </w:rPr>
                            </w:pPr>
                            <w:r w:rsidRPr="00E86ACD">
                              <w:rPr>
                                <w:rFonts w:ascii="DIN Pro Cond Medium" w:hAnsi="DIN Pro Cond Medium" w:cs="DIN Pro Cond Medium"/>
                                <w:sz w:val="28"/>
                                <w:szCs w:val="28"/>
                              </w:rPr>
                              <w:t>Objectifs de progression concernant l’index mesurant les écarts de rémunération entre les femmes et les hommes dans la fonction publique territoriale pour l’année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8B55B" id="Rectangle à coins arrondis 2" o:spid="_x0000_s1026" style="position:absolute;margin-left:131pt;margin-top:4.7pt;width:331.5pt;height:8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" fillcolor="#5b9bd5" strokecolor="#41719c" strokeweight="1pt">
                <v:stroke joinstyle="miter"/>
                <v:textbox>
                  <w:txbxContent>
                    <w:p w:rsidR="00641995" w:rsidRPr="00641995" w:rsidRDefault="00641995" w:rsidP="00641995">
                      <w:pPr>
                        <w:jc w:val="center"/>
                        <w:rPr>
                          <w:rFonts w:ascii="DIN Pro Cond Medium" w:hAnsi="DIN Pro Cond Medium" w:cs="DIN Pro Cond Medium"/>
                          <w:sz w:val="28"/>
                          <w:szCs w:val="28"/>
                        </w:rPr>
                      </w:pPr>
                      <w:r w:rsidRPr="00E86ACD">
                        <w:rPr>
                          <w:rFonts w:ascii="DIN Pro Cond Medium" w:hAnsi="DIN Pro Cond Medium" w:cs="DIN Pro Cond Medium"/>
                          <w:sz w:val="28"/>
                          <w:szCs w:val="28"/>
                        </w:rPr>
                        <w:t>Objectifs de progression concernant l’index mesurant les écarts de rémunération entre les femmes et les hommes dans la fonction publique territoriale pour l’année 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5CE3547" wp14:editId="2AD19C9F">
            <wp:extent cx="1295051" cy="1295051"/>
            <wp:effectExtent l="0" t="0" r="635" b="635"/>
            <wp:docPr id="1" name="Image 1" descr="https://intranet.gers.fr/wp-content/uploads/2023/06/LOGO-GERS-FOND-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gers.fr/wp-content/uploads/2023/06/LOGO-GERS-FOND-BLE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13" cy="130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995" w:rsidRDefault="00641995" w:rsidP="00BA0BC8">
      <w:pPr>
        <w:rPr>
          <w:rFonts w:ascii="DIN Pro Cond Medium" w:hAnsi="DIN Pro Cond Medium" w:cs="DIN Pro Cond Medium"/>
          <w:sz w:val="28"/>
          <w:szCs w:val="28"/>
        </w:rPr>
      </w:pPr>
    </w:p>
    <w:p w:rsidR="00641995" w:rsidRDefault="00641995" w:rsidP="00BA0BC8">
      <w:pPr>
        <w:rPr>
          <w:rFonts w:ascii="DIN Pro Cond Medium" w:hAnsi="DIN Pro Cond Medium" w:cs="DIN Pro Cond Medium"/>
          <w:sz w:val="28"/>
          <w:szCs w:val="28"/>
        </w:rPr>
      </w:pPr>
    </w:p>
    <w:p w:rsidR="002D2383" w:rsidRPr="003F127D" w:rsidRDefault="002D2383" w:rsidP="00402E90">
      <w:pPr>
        <w:pStyle w:val="Paragraphedeliste"/>
        <w:numPr>
          <w:ilvl w:val="0"/>
          <w:numId w:val="1"/>
        </w:numPr>
        <w:jc w:val="both"/>
        <w:rPr>
          <w:rFonts w:ascii="DIN Pro Cond Medium" w:hAnsi="DIN Pro Cond Medium" w:cs="DIN Pro Cond Medium"/>
          <w:color w:val="2E74B5" w:themeColor="accent1" w:themeShade="BF"/>
          <w:sz w:val="24"/>
          <w:szCs w:val="24"/>
        </w:rPr>
      </w:pPr>
      <w:r w:rsidRPr="003F127D">
        <w:rPr>
          <w:rFonts w:ascii="DIN Pro Cond Medium" w:hAnsi="DIN Pro Cond Medium" w:cs="DIN Pro Cond Medium"/>
          <w:color w:val="2E74B5" w:themeColor="accent1" w:themeShade="BF"/>
          <w:sz w:val="24"/>
          <w:szCs w:val="24"/>
        </w:rPr>
        <w:t xml:space="preserve">Travailler sur les Lignes Directrices de Gestion afin de prendre en compte la proportion des femmes et des hommes dans les avancements de grade. </w:t>
      </w:r>
    </w:p>
    <w:p w:rsidR="00E86ACD" w:rsidRPr="003F127D" w:rsidRDefault="00E86ACD" w:rsidP="00402E90">
      <w:pPr>
        <w:pStyle w:val="Paragraphedeliste"/>
        <w:jc w:val="both"/>
        <w:rPr>
          <w:rFonts w:ascii="DIN Pro Cond Medium" w:hAnsi="DIN Pro Cond Medium" w:cs="DIN Pro Cond Medium"/>
          <w:color w:val="2E74B5" w:themeColor="accent1" w:themeShade="BF"/>
          <w:sz w:val="24"/>
          <w:szCs w:val="24"/>
        </w:rPr>
      </w:pPr>
    </w:p>
    <w:p w:rsidR="00E86ACD" w:rsidRPr="003F127D" w:rsidRDefault="002D2383" w:rsidP="00402E90">
      <w:pPr>
        <w:pStyle w:val="Paragraphedeliste"/>
        <w:numPr>
          <w:ilvl w:val="0"/>
          <w:numId w:val="1"/>
        </w:numPr>
        <w:jc w:val="both"/>
        <w:rPr>
          <w:rFonts w:ascii="DIN Pro Cond Medium" w:hAnsi="DIN Pro Cond Medium" w:cs="DIN Pro Cond Medium"/>
          <w:color w:val="2E74B5" w:themeColor="accent1" w:themeShade="BF"/>
          <w:sz w:val="24"/>
          <w:szCs w:val="24"/>
        </w:rPr>
      </w:pPr>
      <w:r w:rsidRPr="003F127D">
        <w:rPr>
          <w:rFonts w:ascii="DIN Pro Cond Medium" w:hAnsi="DIN Pro Cond Medium" w:cs="DIN Pro Cond Medium"/>
          <w:color w:val="2E74B5" w:themeColor="accent1" w:themeShade="BF"/>
          <w:sz w:val="24"/>
          <w:szCs w:val="24"/>
        </w:rPr>
        <w:t>Réaliser un diagnostic par catégorie et grade en lien avec les Lignes Directrices de Gestion et proposer des actions correctives</w:t>
      </w:r>
    </w:p>
    <w:p w:rsidR="00E86ACD" w:rsidRPr="003F127D" w:rsidRDefault="00E86ACD" w:rsidP="00402E90">
      <w:pPr>
        <w:pStyle w:val="Paragraphedeliste"/>
        <w:jc w:val="both"/>
        <w:rPr>
          <w:rFonts w:ascii="DIN Pro Cond Medium" w:hAnsi="DIN Pro Cond Medium" w:cs="DIN Pro Cond Medium"/>
          <w:color w:val="2E74B5" w:themeColor="accent1" w:themeShade="BF"/>
          <w:sz w:val="24"/>
          <w:szCs w:val="24"/>
        </w:rPr>
      </w:pPr>
    </w:p>
    <w:p w:rsidR="00E86ACD" w:rsidRPr="003F127D" w:rsidRDefault="00E86ACD" w:rsidP="00402E90">
      <w:pPr>
        <w:pStyle w:val="Paragraphedeliste"/>
        <w:jc w:val="both"/>
        <w:rPr>
          <w:rFonts w:ascii="DIN Pro Cond Medium" w:hAnsi="DIN Pro Cond Medium" w:cs="DIN Pro Cond Medium"/>
          <w:color w:val="2E74B5" w:themeColor="accent1" w:themeShade="BF"/>
          <w:sz w:val="24"/>
          <w:szCs w:val="24"/>
        </w:rPr>
      </w:pPr>
    </w:p>
    <w:p w:rsidR="002D2383" w:rsidRPr="003F127D" w:rsidRDefault="002D2383" w:rsidP="00402E90">
      <w:pPr>
        <w:pStyle w:val="Paragraphedeliste"/>
        <w:numPr>
          <w:ilvl w:val="0"/>
          <w:numId w:val="1"/>
        </w:numPr>
        <w:jc w:val="both"/>
        <w:rPr>
          <w:rFonts w:ascii="DIN Pro Cond Medium" w:hAnsi="DIN Pro Cond Medium" w:cs="DIN Pro Cond Medium"/>
          <w:color w:val="2E74B5" w:themeColor="accent1" w:themeShade="BF"/>
          <w:sz w:val="24"/>
          <w:szCs w:val="24"/>
        </w:rPr>
      </w:pPr>
      <w:r w:rsidRPr="003F127D">
        <w:rPr>
          <w:rFonts w:ascii="DIN Pro Cond Medium" w:hAnsi="DIN Pro Cond Medium" w:cs="DIN Pro Cond Medium"/>
          <w:color w:val="2E74B5" w:themeColor="accent1" w:themeShade="BF"/>
          <w:sz w:val="24"/>
          <w:szCs w:val="24"/>
        </w:rPr>
        <w:t xml:space="preserve">S’appuyer sur le plan d’action relatif à l’égalité professionnelle 2024/2026. Notamment en travaillant sur l’axe 1 de ce plan : </w:t>
      </w:r>
      <w:r w:rsidRPr="003F127D">
        <w:rPr>
          <w:rFonts w:ascii="DIN Pro Cond Medium" w:hAnsi="DIN Pro Cond Medium" w:cs="DIN Pro Cond Medium"/>
          <w:i/>
          <w:color w:val="2E74B5" w:themeColor="accent1" w:themeShade="BF"/>
          <w:sz w:val="24"/>
          <w:szCs w:val="24"/>
        </w:rPr>
        <w:t xml:space="preserve">« Evaluer, prévenir et, le cas </w:t>
      </w:r>
      <w:r w:rsidR="00E86ACD" w:rsidRPr="003F127D">
        <w:rPr>
          <w:rFonts w:ascii="DIN Pro Cond Medium" w:hAnsi="DIN Pro Cond Medium" w:cs="DIN Pro Cond Medium"/>
          <w:i/>
          <w:color w:val="2E74B5" w:themeColor="accent1" w:themeShade="BF"/>
          <w:sz w:val="24"/>
          <w:szCs w:val="24"/>
        </w:rPr>
        <w:t>échéant,</w:t>
      </w:r>
      <w:r w:rsidRPr="003F127D">
        <w:rPr>
          <w:rFonts w:ascii="DIN Pro Cond Medium" w:hAnsi="DIN Pro Cond Medium" w:cs="DIN Pro Cond Medium"/>
          <w:i/>
          <w:color w:val="2E74B5" w:themeColor="accent1" w:themeShade="BF"/>
          <w:sz w:val="24"/>
          <w:szCs w:val="24"/>
        </w:rPr>
        <w:t xml:space="preserve"> traiter les écarts de rémunération entre les femmes et les hommes</w:t>
      </w:r>
      <w:r w:rsidR="00985FBB" w:rsidRPr="003F127D">
        <w:rPr>
          <w:rFonts w:ascii="DIN Pro Cond Medium" w:hAnsi="DIN Pro Cond Medium" w:cs="DIN Pro Cond Medium"/>
          <w:i/>
          <w:color w:val="2E74B5" w:themeColor="accent1" w:themeShade="BF"/>
          <w:sz w:val="24"/>
          <w:szCs w:val="24"/>
        </w:rPr>
        <w:t> » </w:t>
      </w:r>
      <w:r w:rsidR="00985FBB" w:rsidRPr="003F127D">
        <w:rPr>
          <w:rFonts w:ascii="DIN Pro Cond Medium" w:hAnsi="DIN Pro Cond Medium" w:cs="DIN Pro Cond Medium"/>
          <w:color w:val="2E74B5" w:themeColor="accent1" w:themeShade="BF"/>
          <w:sz w:val="24"/>
          <w:szCs w:val="24"/>
        </w:rPr>
        <w:t>:</w:t>
      </w:r>
    </w:p>
    <w:p w:rsidR="00BA0BC8" w:rsidRDefault="00641995" w:rsidP="00BA0BC8">
      <w:pPr>
        <w:rPr>
          <w:rFonts w:ascii="DIN Pro Cond Medium" w:hAnsi="DIN Pro Cond Medium" w:cs="DIN Pro Cond Medium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32BD840" wp14:editId="7413FDC4">
            <wp:extent cx="5486400" cy="3200400"/>
            <wp:effectExtent l="57150" t="0" r="38100" b="0"/>
            <wp:docPr id="4" name="Diagramme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A0BC8" w:rsidRDefault="00BA0BC8" w:rsidP="00BA0BC8">
      <w:pPr>
        <w:rPr>
          <w:rFonts w:ascii="DIN Pro Cond Medium" w:hAnsi="DIN Pro Cond Medium" w:cs="DIN Pro Cond Medium"/>
          <w:sz w:val="24"/>
          <w:szCs w:val="24"/>
        </w:rPr>
      </w:pPr>
    </w:p>
    <w:p w:rsidR="002D2383" w:rsidRPr="00641995" w:rsidRDefault="00BA0BC8" w:rsidP="003F127D">
      <w:pPr>
        <w:jc w:val="center"/>
        <w:rPr>
          <w:rFonts w:ascii="DIN Pro Cond Medium" w:hAnsi="DIN Pro Cond Medium" w:cs="DIN Pro Cond Medium"/>
          <w:i/>
          <w:color w:val="1F4E79" w:themeColor="accent1" w:themeShade="80"/>
          <w:sz w:val="24"/>
          <w:szCs w:val="24"/>
        </w:rPr>
      </w:pPr>
      <w:r w:rsidRPr="003F127D">
        <w:rPr>
          <w:rFonts w:ascii="DIN Pro Cond Medium" w:hAnsi="DIN Pro Cond Medium" w:cs="DIN Pro Cond Medium"/>
          <w:i/>
          <w:color w:val="5B9BD5" w:themeColor="accent1"/>
          <w:sz w:val="24"/>
          <w:szCs w:val="24"/>
        </w:rPr>
        <w:t xml:space="preserve">Rappel sur le score index égalité 2023 pour le Département du Gers : </w:t>
      </w:r>
      <w:r w:rsidRPr="00641995">
        <w:rPr>
          <w:rFonts w:ascii="DIN Pro Cond Medium" w:hAnsi="DIN Pro Cond Medium" w:cs="DIN Pro Cond Medium"/>
          <w:i/>
          <w:color w:val="1F4E79" w:themeColor="accent1" w:themeShade="80"/>
          <w:sz w:val="24"/>
          <w:szCs w:val="24"/>
        </w:rPr>
        <w:t>64/100</w:t>
      </w:r>
    </w:p>
    <w:sectPr w:rsidR="002D2383" w:rsidRPr="00641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N Pro Cond Medium">
    <w:panose1 w:val="00000000000000000000"/>
    <w:charset w:val="00"/>
    <w:family w:val="swiss"/>
    <w:notTrueType/>
    <w:pitch w:val="variable"/>
    <w:sig w:usb0="A00002BF" w:usb1="4000207B" w:usb2="00000008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7579"/>
    <w:multiLevelType w:val="hybridMultilevel"/>
    <w:tmpl w:val="47E45D8E"/>
    <w:lvl w:ilvl="0" w:tplc="2174A8EE">
      <w:numFmt w:val="bullet"/>
      <w:lvlText w:val="-"/>
      <w:lvlJc w:val="left"/>
      <w:pPr>
        <w:ind w:left="720" w:hanging="360"/>
      </w:pPr>
      <w:rPr>
        <w:rFonts w:ascii="DIN Pro Cond Medium" w:eastAsiaTheme="minorHAnsi" w:hAnsi="DIN Pro Cond Medium" w:cs="DIN Pro Cond Medium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1CE8"/>
    <w:multiLevelType w:val="hybridMultilevel"/>
    <w:tmpl w:val="22A8CA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E088B"/>
    <w:multiLevelType w:val="hybridMultilevel"/>
    <w:tmpl w:val="EE36540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25200E"/>
    <w:multiLevelType w:val="hybridMultilevel"/>
    <w:tmpl w:val="F68AC72E"/>
    <w:lvl w:ilvl="0" w:tplc="040C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D6371FB"/>
    <w:multiLevelType w:val="hybridMultilevel"/>
    <w:tmpl w:val="A6EA0722"/>
    <w:lvl w:ilvl="0" w:tplc="E340B4C6">
      <w:numFmt w:val="bullet"/>
      <w:lvlText w:val="-"/>
      <w:lvlJc w:val="center"/>
      <w:pPr>
        <w:ind w:left="2160" w:hanging="360"/>
      </w:pPr>
      <w:rPr>
        <w:rFonts w:ascii="DIN Pro Cond Medium" w:eastAsiaTheme="minorHAnsi" w:hAnsi="DIN Pro Cond Medium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83"/>
    <w:rsid w:val="002D2383"/>
    <w:rsid w:val="003F127D"/>
    <w:rsid w:val="00402E90"/>
    <w:rsid w:val="004B4E0F"/>
    <w:rsid w:val="00641995"/>
    <w:rsid w:val="00985FBB"/>
    <w:rsid w:val="00A7450E"/>
    <w:rsid w:val="00BA0BC8"/>
    <w:rsid w:val="00E86ACD"/>
    <w:rsid w:val="00E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00089-B46E-42E0-B43B-03CFEF4C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238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0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0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7BEED3-031E-4797-83C9-2A928097ADF7}" type="doc">
      <dgm:prSet loTypeId="urn:microsoft.com/office/officeart/2005/8/layout/default" loCatId="list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4B71C726-C74A-40AE-8685-06E552D2CB57}">
      <dgm:prSet phldrT="[Texte]"/>
      <dgm:spPr>
        <a:xfrm>
          <a:off x="0" y="485774"/>
          <a:ext cx="1714499" cy="1028700"/>
        </a:xfrm>
      </dgm:spPr>
      <dgm:t>
        <a:bodyPr/>
        <a:lstStyle/>
        <a:p>
          <a:r>
            <a:rPr lang="fr-FR">
              <a:latin typeface="Calibri" panose="020F0502020204030204"/>
              <a:ea typeface="+mn-ea"/>
              <a:cs typeface="+mn-cs"/>
            </a:rPr>
            <a:t>Créer une extraction des données à analyser (écarts liés à la quotité de temps de   travail, comparaison par filières, grades, fonctions, ancienneté). S’appuyer sur le RSU </a:t>
          </a:r>
        </a:p>
      </dgm:t>
    </dgm:pt>
    <dgm:pt modelId="{AAA47804-42DD-49CC-B620-8F5553C1E5BB}" type="parTrans" cxnId="{1825ED42-89A3-4769-AADB-AC4665E49E4D}">
      <dgm:prSet/>
      <dgm:spPr/>
      <dgm:t>
        <a:bodyPr/>
        <a:lstStyle/>
        <a:p>
          <a:endParaRPr lang="fr-FR"/>
        </a:p>
      </dgm:t>
    </dgm:pt>
    <dgm:pt modelId="{1C7E339D-BB13-4CBC-BBC7-EF7A89F9C6C3}" type="sibTrans" cxnId="{1825ED42-89A3-4769-AADB-AC4665E49E4D}">
      <dgm:prSet/>
      <dgm:spPr/>
      <dgm:t>
        <a:bodyPr/>
        <a:lstStyle/>
        <a:p>
          <a:endParaRPr lang="fr-FR"/>
        </a:p>
      </dgm:t>
    </dgm:pt>
    <dgm:pt modelId="{4410B6A8-1355-4E0F-971B-2902B71006E6}">
      <dgm:prSet phldrT="[Texte]"/>
      <dgm:spPr>
        <a:xfrm>
          <a:off x="1885950" y="485774"/>
          <a:ext cx="1714499" cy="1028700"/>
        </a:xfrm>
      </dgm:spPr>
      <dgm:t>
        <a:bodyPr/>
        <a:lstStyle/>
        <a:p>
          <a:r>
            <a:rPr lang="fr-FR">
              <a:latin typeface="Calibri" panose="020F0502020204030204"/>
              <a:ea typeface="+mn-ea"/>
              <a:cs typeface="+mn-cs"/>
            </a:rPr>
            <a:t>Mener l’analyse                                                        </a:t>
          </a:r>
        </a:p>
      </dgm:t>
    </dgm:pt>
    <dgm:pt modelId="{69ACA6FF-AE06-46A7-B29B-9D1726F143C0}" type="parTrans" cxnId="{DDF2C411-B396-400C-B273-5DDDF3EE592F}">
      <dgm:prSet/>
      <dgm:spPr/>
      <dgm:t>
        <a:bodyPr/>
        <a:lstStyle/>
        <a:p>
          <a:endParaRPr lang="fr-FR"/>
        </a:p>
      </dgm:t>
    </dgm:pt>
    <dgm:pt modelId="{5A905C1B-227B-492D-8E8B-D65A32AEAB56}" type="sibTrans" cxnId="{DDF2C411-B396-400C-B273-5DDDF3EE592F}">
      <dgm:prSet/>
      <dgm:spPr/>
      <dgm:t>
        <a:bodyPr/>
        <a:lstStyle/>
        <a:p>
          <a:endParaRPr lang="fr-FR"/>
        </a:p>
      </dgm:t>
    </dgm:pt>
    <dgm:pt modelId="{880F37A1-838B-48C3-968E-32C90F26BD0D}">
      <dgm:prSet phldrT="[Texte]"/>
      <dgm:spPr>
        <a:xfrm>
          <a:off x="3771900" y="485774"/>
          <a:ext cx="1714499" cy="1028700"/>
        </a:xfrm>
      </dgm:spPr>
      <dgm:t>
        <a:bodyPr/>
        <a:lstStyle/>
        <a:p>
          <a:r>
            <a:rPr lang="fr-FR">
              <a:latin typeface="Calibri" panose="020F0502020204030204"/>
              <a:ea typeface="+mn-ea"/>
              <a:cs typeface="+mn-cs"/>
            </a:rPr>
            <a:t>Traiter selon la nature de l’écart</a:t>
          </a:r>
        </a:p>
      </dgm:t>
    </dgm:pt>
    <dgm:pt modelId="{AD61E666-BFD2-438C-84D5-8C09C6D271E0}" type="parTrans" cxnId="{BF9AD031-D0DF-47A5-9296-6062EC81512C}">
      <dgm:prSet/>
      <dgm:spPr/>
      <dgm:t>
        <a:bodyPr/>
        <a:lstStyle/>
        <a:p>
          <a:endParaRPr lang="fr-FR"/>
        </a:p>
      </dgm:t>
    </dgm:pt>
    <dgm:pt modelId="{93632830-A317-43C2-9FB3-2A4235A84456}" type="sibTrans" cxnId="{BF9AD031-D0DF-47A5-9296-6062EC81512C}">
      <dgm:prSet/>
      <dgm:spPr/>
      <dgm:t>
        <a:bodyPr/>
        <a:lstStyle/>
        <a:p>
          <a:endParaRPr lang="fr-FR"/>
        </a:p>
      </dgm:t>
    </dgm:pt>
    <dgm:pt modelId="{0FE30C93-C784-47B9-B8BA-5E373FFF8682}">
      <dgm:prSet phldrT="[Texte]"/>
      <dgm:spPr>
        <a:xfrm>
          <a:off x="942975" y="1685925"/>
          <a:ext cx="1714499" cy="1028700"/>
        </a:xfrm>
      </dgm:spPr>
      <dgm:t>
        <a:bodyPr/>
        <a:lstStyle/>
        <a:p>
          <a:r>
            <a:rPr lang="fr-FR">
              <a:latin typeface="Calibri" panose="020F0502020204030204"/>
              <a:ea typeface="+mn-ea"/>
              <a:cs typeface="+mn-cs"/>
            </a:rPr>
            <a:t>- Si les chiffres sont inférieurs à une cible définie par décret, des objectifs de progression de chacun de ces indicateurs seront fixés et publiés. La collectivité disposera alors de trois ans pour atteindre cette cible.</a:t>
          </a:r>
        </a:p>
      </dgm:t>
    </dgm:pt>
    <dgm:pt modelId="{6D1AE814-2B53-4CFF-A0CA-11B775FD1F94}" type="parTrans" cxnId="{201C233A-128B-412B-8A2F-7858819D122E}">
      <dgm:prSet/>
      <dgm:spPr/>
      <dgm:t>
        <a:bodyPr/>
        <a:lstStyle/>
        <a:p>
          <a:endParaRPr lang="fr-FR"/>
        </a:p>
      </dgm:t>
    </dgm:pt>
    <dgm:pt modelId="{0D3EA230-5C87-434B-AFD3-1C60E61C7FA2}" type="sibTrans" cxnId="{201C233A-128B-412B-8A2F-7858819D122E}">
      <dgm:prSet/>
      <dgm:spPr/>
      <dgm:t>
        <a:bodyPr/>
        <a:lstStyle/>
        <a:p>
          <a:endParaRPr lang="fr-FR"/>
        </a:p>
      </dgm:t>
    </dgm:pt>
    <dgm:pt modelId="{B85F7459-2134-47FB-8788-71E3DDE15D01}">
      <dgm:prSet/>
      <dgm:spPr>
        <a:xfrm>
          <a:off x="2828925" y="1685925"/>
          <a:ext cx="1714499" cy="1028700"/>
        </a:xfrm>
      </dgm:spPr>
      <dgm:t>
        <a:bodyPr/>
        <a:lstStyle/>
        <a:p>
          <a:r>
            <a:rPr lang="fr-FR">
              <a:latin typeface="Calibri" panose="020F0502020204030204"/>
              <a:ea typeface="+mn-ea"/>
              <a:cs typeface="+mn-cs"/>
            </a:rPr>
            <a:t>Publier tous les ans, sur le site internet de la collectivité, l’index égalité professionnelle</a:t>
          </a:r>
        </a:p>
      </dgm:t>
    </dgm:pt>
    <dgm:pt modelId="{6B5095BB-7AEF-453D-9B86-A1707A2679EB}" type="parTrans" cxnId="{CC47CBE5-57B1-458F-A938-A9E6B6EA2230}">
      <dgm:prSet/>
      <dgm:spPr/>
      <dgm:t>
        <a:bodyPr/>
        <a:lstStyle/>
        <a:p>
          <a:endParaRPr lang="fr-FR"/>
        </a:p>
      </dgm:t>
    </dgm:pt>
    <dgm:pt modelId="{796D3A5F-B419-4013-920A-A1DEFCFC35CB}" type="sibTrans" cxnId="{CC47CBE5-57B1-458F-A938-A9E6B6EA2230}">
      <dgm:prSet/>
      <dgm:spPr/>
      <dgm:t>
        <a:bodyPr/>
        <a:lstStyle/>
        <a:p>
          <a:endParaRPr lang="fr-FR"/>
        </a:p>
      </dgm:t>
    </dgm:pt>
    <dgm:pt modelId="{42C265A1-0295-4438-84D2-3EBB30811932}" type="pres">
      <dgm:prSet presAssocID="{2F7BEED3-031E-4797-83C9-2A928097ADF7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6C36457D-1C24-4EBF-A8D4-F803D6B10612}" type="pres">
      <dgm:prSet presAssocID="{4B71C726-C74A-40AE-8685-06E552D2CB57}" presName="node" presStyleLbl="node1" presStyleIdx="0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49042D34-6801-46A4-BE85-6C9CAB6CF2BA}" type="pres">
      <dgm:prSet presAssocID="{1C7E339D-BB13-4CBC-BBC7-EF7A89F9C6C3}" presName="sibTrans" presStyleCnt="0"/>
      <dgm:spPr/>
      <dgm:t>
        <a:bodyPr/>
        <a:lstStyle/>
        <a:p>
          <a:endParaRPr lang="fr-FR"/>
        </a:p>
      </dgm:t>
    </dgm:pt>
    <dgm:pt modelId="{E631C5DF-E3DF-45E0-B31F-DC64687AF074}" type="pres">
      <dgm:prSet presAssocID="{4410B6A8-1355-4E0F-971B-2902B71006E6}" presName="node" presStyleLbl="node1" presStyleIdx="1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7C8103A7-AD8E-4D48-961D-705D4FD8D6BA}" type="pres">
      <dgm:prSet presAssocID="{5A905C1B-227B-492D-8E8B-D65A32AEAB56}" presName="sibTrans" presStyleCnt="0"/>
      <dgm:spPr/>
      <dgm:t>
        <a:bodyPr/>
        <a:lstStyle/>
        <a:p>
          <a:endParaRPr lang="fr-FR"/>
        </a:p>
      </dgm:t>
    </dgm:pt>
    <dgm:pt modelId="{454EB2F4-323E-4523-BDED-6EAC29781298}" type="pres">
      <dgm:prSet presAssocID="{880F37A1-838B-48C3-968E-32C90F26BD0D}" presName="node" presStyleLbl="node1" presStyleIdx="2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487FD0AA-C934-49C6-BF58-522D7BE8C8F1}" type="pres">
      <dgm:prSet presAssocID="{93632830-A317-43C2-9FB3-2A4235A84456}" presName="sibTrans" presStyleCnt="0"/>
      <dgm:spPr/>
      <dgm:t>
        <a:bodyPr/>
        <a:lstStyle/>
        <a:p>
          <a:endParaRPr lang="fr-FR"/>
        </a:p>
      </dgm:t>
    </dgm:pt>
    <dgm:pt modelId="{1074DEBD-3EED-41F4-A002-BA9992519B33}" type="pres">
      <dgm:prSet presAssocID="{0FE30C93-C784-47B9-B8BA-5E373FFF8682}" presName="node" presStyleLbl="node1" presStyleIdx="3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C5538876-62D1-459E-8F90-517D3E2647C4}" type="pres">
      <dgm:prSet presAssocID="{0D3EA230-5C87-434B-AFD3-1C60E61C7FA2}" presName="sibTrans" presStyleCnt="0"/>
      <dgm:spPr/>
      <dgm:t>
        <a:bodyPr/>
        <a:lstStyle/>
        <a:p>
          <a:endParaRPr lang="fr-FR"/>
        </a:p>
      </dgm:t>
    </dgm:pt>
    <dgm:pt modelId="{D623F657-8F80-4BE3-89A5-B66665BCE3C3}" type="pres">
      <dgm:prSet presAssocID="{B85F7459-2134-47FB-8788-71E3DDE15D01}" presName="node" presStyleLbl="node1" presStyleIdx="4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fr-FR"/>
        </a:p>
      </dgm:t>
    </dgm:pt>
  </dgm:ptLst>
  <dgm:cxnLst>
    <dgm:cxn modelId="{AE37FA53-41F5-44E4-B30D-1516EBB37496}" type="presOf" srcId="{B85F7459-2134-47FB-8788-71E3DDE15D01}" destId="{D623F657-8F80-4BE3-89A5-B66665BCE3C3}" srcOrd="0" destOrd="0" presId="urn:microsoft.com/office/officeart/2005/8/layout/default"/>
    <dgm:cxn modelId="{BF9AD031-D0DF-47A5-9296-6062EC81512C}" srcId="{2F7BEED3-031E-4797-83C9-2A928097ADF7}" destId="{880F37A1-838B-48C3-968E-32C90F26BD0D}" srcOrd="2" destOrd="0" parTransId="{AD61E666-BFD2-438C-84D5-8C09C6D271E0}" sibTransId="{93632830-A317-43C2-9FB3-2A4235A84456}"/>
    <dgm:cxn modelId="{201C233A-128B-412B-8A2F-7858819D122E}" srcId="{2F7BEED3-031E-4797-83C9-2A928097ADF7}" destId="{0FE30C93-C784-47B9-B8BA-5E373FFF8682}" srcOrd="3" destOrd="0" parTransId="{6D1AE814-2B53-4CFF-A0CA-11B775FD1F94}" sibTransId="{0D3EA230-5C87-434B-AFD3-1C60E61C7FA2}"/>
    <dgm:cxn modelId="{5E9D6A36-31B1-400D-9459-B2E0DB57BB50}" type="presOf" srcId="{0FE30C93-C784-47B9-B8BA-5E373FFF8682}" destId="{1074DEBD-3EED-41F4-A002-BA9992519B33}" srcOrd="0" destOrd="0" presId="urn:microsoft.com/office/officeart/2005/8/layout/default"/>
    <dgm:cxn modelId="{1825ED42-89A3-4769-AADB-AC4665E49E4D}" srcId="{2F7BEED3-031E-4797-83C9-2A928097ADF7}" destId="{4B71C726-C74A-40AE-8685-06E552D2CB57}" srcOrd="0" destOrd="0" parTransId="{AAA47804-42DD-49CC-B620-8F5553C1E5BB}" sibTransId="{1C7E339D-BB13-4CBC-BBC7-EF7A89F9C6C3}"/>
    <dgm:cxn modelId="{CC47CBE5-57B1-458F-A938-A9E6B6EA2230}" srcId="{2F7BEED3-031E-4797-83C9-2A928097ADF7}" destId="{B85F7459-2134-47FB-8788-71E3DDE15D01}" srcOrd="4" destOrd="0" parTransId="{6B5095BB-7AEF-453D-9B86-A1707A2679EB}" sibTransId="{796D3A5F-B419-4013-920A-A1DEFCFC35CB}"/>
    <dgm:cxn modelId="{2A076339-BB5E-4E15-BAC0-BB3C2686AE82}" type="presOf" srcId="{2F7BEED3-031E-4797-83C9-2A928097ADF7}" destId="{42C265A1-0295-4438-84D2-3EBB30811932}" srcOrd="0" destOrd="0" presId="urn:microsoft.com/office/officeart/2005/8/layout/default"/>
    <dgm:cxn modelId="{5E37B0B2-031A-4F26-B1D1-FBC664ED56D8}" type="presOf" srcId="{4410B6A8-1355-4E0F-971B-2902B71006E6}" destId="{E631C5DF-E3DF-45E0-B31F-DC64687AF074}" srcOrd="0" destOrd="0" presId="urn:microsoft.com/office/officeart/2005/8/layout/default"/>
    <dgm:cxn modelId="{518AC27D-479B-4C96-BA19-2F429A9AD626}" type="presOf" srcId="{880F37A1-838B-48C3-968E-32C90F26BD0D}" destId="{454EB2F4-323E-4523-BDED-6EAC29781298}" srcOrd="0" destOrd="0" presId="urn:microsoft.com/office/officeart/2005/8/layout/default"/>
    <dgm:cxn modelId="{DDF2C411-B396-400C-B273-5DDDF3EE592F}" srcId="{2F7BEED3-031E-4797-83C9-2A928097ADF7}" destId="{4410B6A8-1355-4E0F-971B-2902B71006E6}" srcOrd="1" destOrd="0" parTransId="{69ACA6FF-AE06-46A7-B29B-9D1726F143C0}" sibTransId="{5A905C1B-227B-492D-8E8B-D65A32AEAB56}"/>
    <dgm:cxn modelId="{4782511F-5215-4012-A932-516EC1DCDA78}" type="presOf" srcId="{4B71C726-C74A-40AE-8685-06E552D2CB57}" destId="{6C36457D-1C24-4EBF-A8D4-F803D6B10612}" srcOrd="0" destOrd="0" presId="urn:microsoft.com/office/officeart/2005/8/layout/default"/>
    <dgm:cxn modelId="{22E1695A-CF59-4D7A-9E54-D60D1E9BD2D7}" type="presParOf" srcId="{42C265A1-0295-4438-84D2-3EBB30811932}" destId="{6C36457D-1C24-4EBF-A8D4-F803D6B10612}" srcOrd="0" destOrd="0" presId="urn:microsoft.com/office/officeart/2005/8/layout/default"/>
    <dgm:cxn modelId="{8548EF9D-DFAF-4504-826F-01F76156ECBB}" type="presParOf" srcId="{42C265A1-0295-4438-84D2-3EBB30811932}" destId="{49042D34-6801-46A4-BE85-6C9CAB6CF2BA}" srcOrd="1" destOrd="0" presId="urn:microsoft.com/office/officeart/2005/8/layout/default"/>
    <dgm:cxn modelId="{3FE7B89B-7A47-4679-B983-BEDDAA57B832}" type="presParOf" srcId="{42C265A1-0295-4438-84D2-3EBB30811932}" destId="{E631C5DF-E3DF-45E0-B31F-DC64687AF074}" srcOrd="2" destOrd="0" presId="urn:microsoft.com/office/officeart/2005/8/layout/default"/>
    <dgm:cxn modelId="{2C56FC08-1789-47D2-92B6-9687464D1FBD}" type="presParOf" srcId="{42C265A1-0295-4438-84D2-3EBB30811932}" destId="{7C8103A7-AD8E-4D48-961D-705D4FD8D6BA}" srcOrd="3" destOrd="0" presId="urn:microsoft.com/office/officeart/2005/8/layout/default"/>
    <dgm:cxn modelId="{40BA538B-8305-4987-A1DD-9FC133299151}" type="presParOf" srcId="{42C265A1-0295-4438-84D2-3EBB30811932}" destId="{454EB2F4-323E-4523-BDED-6EAC29781298}" srcOrd="4" destOrd="0" presId="urn:microsoft.com/office/officeart/2005/8/layout/default"/>
    <dgm:cxn modelId="{F0298602-3ED5-4D5F-8F13-7756CC332C71}" type="presParOf" srcId="{42C265A1-0295-4438-84D2-3EBB30811932}" destId="{487FD0AA-C934-49C6-BF58-522D7BE8C8F1}" srcOrd="5" destOrd="0" presId="urn:microsoft.com/office/officeart/2005/8/layout/default"/>
    <dgm:cxn modelId="{3ECFBBDD-DEF7-4DB5-8872-BB2B8BCB27C1}" type="presParOf" srcId="{42C265A1-0295-4438-84D2-3EBB30811932}" destId="{1074DEBD-3EED-41F4-A002-BA9992519B33}" srcOrd="6" destOrd="0" presId="urn:microsoft.com/office/officeart/2005/8/layout/default"/>
    <dgm:cxn modelId="{962501EC-035E-4EB7-8238-9C144E8E380C}" type="presParOf" srcId="{42C265A1-0295-4438-84D2-3EBB30811932}" destId="{C5538876-62D1-459E-8F90-517D3E2647C4}" srcOrd="7" destOrd="0" presId="urn:microsoft.com/office/officeart/2005/8/layout/default"/>
    <dgm:cxn modelId="{252DE0B6-58AE-4915-ACD3-75894CD527C6}" type="presParOf" srcId="{42C265A1-0295-4438-84D2-3EBB30811932}" destId="{D623F657-8F80-4BE3-89A5-B66665BCE3C3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36457D-1C24-4EBF-A8D4-F803D6B10612}">
      <dsp:nvSpPr>
        <dsp:cNvPr id="0" name=""/>
        <dsp:cNvSpPr/>
      </dsp:nvSpPr>
      <dsp:spPr>
        <a:xfrm>
          <a:off x="0" y="485774"/>
          <a:ext cx="1714499" cy="102870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Créer une extraction des données à analyser (écarts liés à la quotité de temps de   travail, comparaison par filières, grades, fonctions, ancienneté). S’appuyer sur le RSU </a:t>
          </a:r>
        </a:p>
      </dsp:txBody>
      <dsp:txXfrm>
        <a:off x="0" y="485774"/>
        <a:ext cx="1714499" cy="1028700"/>
      </dsp:txXfrm>
    </dsp:sp>
    <dsp:sp modelId="{E631C5DF-E3DF-45E0-B31F-DC64687AF074}">
      <dsp:nvSpPr>
        <dsp:cNvPr id="0" name=""/>
        <dsp:cNvSpPr/>
      </dsp:nvSpPr>
      <dsp:spPr>
        <a:xfrm>
          <a:off x="1885950" y="485774"/>
          <a:ext cx="1714499" cy="102870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Mener l’analyse                                                        </a:t>
          </a:r>
        </a:p>
      </dsp:txBody>
      <dsp:txXfrm>
        <a:off x="1885950" y="485774"/>
        <a:ext cx="1714499" cy="1028700"/>
      </dsp:txXfrm>
    </dsp:sp>
    <dsp:sp modelId="{454EB2F4-323E-4523-BDED-6EAC29781298}">
      <dsp:nvSpPr>
        <dsp:cNvPr id="0" name=""/>
        <dsp:cNvSpPr/>
      </dsp:nvSpPr>
      <dsp:spPr>
        <a:xfrm>
          <a:off x="3771900" y="485774"/>
          <a:ext cx="1714499" cy="1028700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Traiter selon la nature de l’écart</a:t>
          </a:r>
        </a:p>
      </dsp:txBody>
      <dsp:txXfrm>
        <a:off x="3771900" y="485774"/>
        <a:ext cx="1714499" cy="1028700"/>
      </dsp:txXfrm>
    </dsp:sp>
    <dsp:sp modelId="{1074DEBD-3EED-41F4-A002-BA9992519B33}">
      <dsp:nvSpPr>
        <dsp:cNvPr id="0" name=""/>
        <dsp:cNvSpPr/>
      </dsp:nvSpPr>
      <dsp:spPr>
        <a:xfrm>
          <a:off x="942975" y="1685925"/>
          <a:ext cx="1714499" cy="102870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- Si les chiffres sont inférieurs à une cible définie par décret, des objectifs de progression de chacun de ces indicateurs seront fixés et publiés. La collectivité disposera alors de trois ans pour atteindre cette cible.</a:t>
          </a:r>
        </a:p>
      </dsp:txBody>
      <dsp:txXfrm>
        <a:off x="942975" y="1685925"/>
        <a:ext cx="1714499" cy="1028700"/>
      </dsp:txXfrm>
    </dsp:sp>
    <dsp:sp modelId="{D623F657-8F80-4BE3-89A5-B66665BCE3C3}">
      <dsp:nvSpPr>
        <dsp:cNvPr id="0" name=""/>
        <dsp:cNvSpPr/>
      </dsp:nvSpPr>
      <dsp:spPr>
        <a:xfrm>
          <a:off x="2828925" y="1685925"/>
          <a:ext cx="1714499" cy="102870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Publier tous les ans, sur le site internet de la collectivité, l’index égalité professionnelle</a:t>
          </a:r>
        </a:p>
      </dsp:txBody>
      <dsp:txXfrm>
        <a:off x="2828925" y="1685925"/>
        <a:ext cx="1714499" cy="102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CA26E-7A4F-4B01-85A8-04250F45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cg32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RIBREAU Elodie</dc:creator>
  <cp:keywords/>
  <dc:description/>
  <cp:lastModifiedBy>SAUVAGE Karine</cp:lastModifiedBy>
  <cp:revision>7</cp:revision>
  <cp:lastPrinted>2024-10-21T11:29:00Z</cp:lastPrinted>
  <dcterms:created xsi:type="dcterms:W3CDTF">2024-10-21T10:27:00Z</dcterms:created>
  <dcterms:modified xsi:type="dcterms:W3CDTF">2024-11-12T13:17:00Z</dcterms:modified>
</cp:coreProperties>
</file>